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rPr>
          <w:sz w:val="36"/>
          <w:szCs w:val="36"/>
        </w:rPr>
      </w:pPr>
      <w:r>
        <w:rPr>
          <w:sz w:val="36"/>
          <w:szCs w:val="36"/>
          <w:rtl w:val="0"/>
        </w:rPr>
        <w:t>Kitarist Marko Zorec izdal samostojni album Parallel World</w:t>
      </w:r>
    </w:p>
    <w:p>
      <w:pPr>
        <w:pStyle w:val="Body 2"/>
      </w:pPr>
    </w:p>
    <w:p>
      <w:pPr>
        <w:pStyle w:val="Subheading"/>
        <w:rPr>
          <w:sz w:val="32"/>
          <w:szCs w:val="32"/>
        </w:rPr>
      </w:pPr>
      <w:r>
        <w:rPr>
          <w:sz w:val="32"/>
          <w:szCs w:val="32"/>
          <w:rtl w:val="0"/>
        </w:rPr>
        <w:t>Avtorska glasba na unikatnem instrumentu</w:t>
      </w:r>
    </w:p>
    <w:p>
      <w:pPr>
        <w:pStyle w:val="Body A"/>
      </w:pPr>
    </w:p>
    <w:p>
      <w:pPr>
        <w:pStyle w:val="Body A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Marko Zorec se vra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 slovenske glasbene odre. Znan je po tem, da je bil ustanovitelj in vodja glasbene zasedbe Yogurt, ki je s kar tremi avtorskimi albumi uspe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zaznamovala del slovenske glasbene scene med leti 2001 in 2007, v zasedbi pa je sodeloval tudi legendarni bobnar 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Uranjek. Marko se je letos kot kitarist ponovno pridru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il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spremljevalni zasedbi edega najve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jih umetnikov in pevcev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ega prostora Zorana Predina, poleg tega pa je pravkar izdal tudi svoj prvi samostojni album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Parallel World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Na njem se predstavlja kot instrumentalist na harp kitari, unikatnem instrumentu, ki ga je v slovenskem glasbenem prostoru, pa tudi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le redko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ati. Na albumu najdemo deset avtorskih skladb, ki jih 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anrsko mogo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uvrstiti med nekak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naravno me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anico klasi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 glasbe, bluesa, rocka, jazza, deloma tudi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ambienta. Skladbe imajo jasno strukturo, pa vseeno dovolj odprtega prostora za improvizacijo, ki je avtorju od nekdaj ljuba.</w:t>
      </w:r>
    </w:p>
    <w:p>
      <w:pPr>
        <w:pStyle w:val="Body A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Odzivi na album so izjemni. </w:t>
      </w:r>
      <w:r>
        <w:rPr>
          <w:rtl w:val="1"/>
          <w:lang w:val="ar-SA" w:bidi="ar-SA"/>
        </w:rPr>
        <w:t>“</w:t>
      </w:r>
      <w:r>
        <w:rPr>
          <w:rStyle w:val="None A"/>
          <w:rtl w:val="0"/>
        </w:rPr>
        <w:t>To so najbolj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e avtorske instrumentalne skladbe, kar sem jih videl posnetih na na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i harp kitari,</w:t>
      </w:r>
      <w:r>
        <w:rPr>
          <w:rStyle w:val="None A"/>
          <w:rtl w:val="0"/>
        </w:rPr>
        <w:t xml:space="preserve">” </w:t>
      </w:r>
      <w:r>
        <w:rPr>
          <w:rStyle w:val="None A"/>
          <w:rtl w:val="0"/>
        </w:rPr>
        <w:t xml:space="preserve">je zapisal Rob Smith, ustanovitelj znamke Timberline Guitars. </w:t>
      </w:r>
      <w:r>
        <w:rPr>
          <w:rtl w:val="1"/>
          <w:lang w:val="ar-SA" w:bidi="ar-SA"/>
        </w:rPr>
        <w:t>“</w:t>
      </w:r>
      <w:r>
        <w:rPr>
          <w:rStyle w:val="None A"/>
          <w:rtl w:val="0"/>
        </w:rPr>
        <w:t>Ta glasba je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udovita,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arobna in jo priporoc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am vsem, ki imajo radi glasbo,</w:t>
      </w:r>
      <w:r>
        <w:rPr>
          <w:rStyle w:val="None A"/>
          <w:rtl w:val="0"/>
        </w:rPr>
        <w:t xml:space="preserve">” </w:t>
      </w:r>
      <w:r>
        <w:rPr>
          <w:rStyle w:val="None A"/>
          <w:rtl w:val="0"/>
        </w:rPr>
        <w:t>je po poslu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anju albuma izjavil Goran Bojc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 xml:space="preserve">evski, svetovno priznani virtuoz na klarinetu. </w:t>
      </w:r>
      <w:r>
        <w:rPr>
          <w:rtl w:val="1"/>
          <w:lang w:val="ar-SA" w:bidi="ar-SA"/>
        </w:rPr>
        <w:t>“</w:t>
      </w:r>
      <w:r>
        <w:rPr>
          <w:rStyle w:val="None A"/>
          <w:rtl w:val="0"/>
        </w:rPr>
        <w:t>Nekaj posebnega, dober obc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utek,</w:t>
      </w:r>
      <w:r>
        <w:rPr>
          <w:rStyle w:val="None A"/>
          <w:rtl w:val="0"/>
        </w:rPr>
        <w:t xml:space="preserve">” </w:t>
      </w:r>
      <w:r>
        <w:rPr>
          <w:rStyle w:val="None A"/>
          <w:rtl w:val="0"/>
        </w:rPr>
        <w:t xml:space="preserve">meni Tina Mauko, uveljavljena skladateljica in pianistka. </w:t>
      </w:r>
      <w:r>
        <w:rPr>
          <w:rtl w:val="0"/>
          <w:lang w:val="it-IT"/>
        </w:rPr>
        <w:t>»</w:t>
      </w:r>
      <w:r>
        <w:rPr>
          <w:rStyle w:val="None A"/>
          <w:rtl w:val="0"/>
        </w:rPr>
        <w:t>Wow. Brez besed. Izjemno. Glasba z intelektom in sporo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ilom, ki se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e malo bolj globoko. Ima tisti faktor 'x', ki je v glasbi dandanes tako</w:t>
      </w:r>
      <w:r>
        <w:rPr>
          <w:rtl w:val="0"/>
          <w:lang w:val="nl-NL"/>
        </w:rPr>
        <w:t xml:space="preserve"> redek</w:t>
      </w:r>
      <w:r>
        <w:rPr>
          <w:rStyle w:val="None A"/>
          <w:rtl w:val="0"/>
        </w:rPr>
        <w:t>,</w:t>
      </w:r>
      <w:r>
        <w:rPr>
          <w:rStyle w:val="None A"/>
          <w:rtl w:val="0"/>
        </w:rPr>
        <w:t xml:space="preserve">” </w:t>
      </w:r>
      <w:r>
        <w:rPr>
          <w:rStyle w:val="None A"/>
          <w:rtl w:val="0"/>
        </w:rPr>
        <w:t>pravi Janez Zako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 xml:space="preserve">ek, izjemno cenjeni virtuoz na bas kitari. </w:t>
      </w:r>
      <w:r>
        <w:rPr>
          <w:rtl w:val="1"/>
          <w:lang w:val="ar-SA" w:bidi="ar-SA"/>
        </w:rPr>
        <w:t>“</w:t>
      </w:r>
      <w:r>
        <w:rPr>
          <w:rStyle w:val="None A"/>
          <w:rtl w:val="0"/>
        </w:rPr>
        <w:t xml:space="preserve">Zelo zanimiva, impresivna glasba, 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 xml:space="preserve">e posebej izvedba na glasbilu, ki ga na Valu 202 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e nismo sre</w:t>
      </w:r>
      <w:r>
        <w:rPr>
          <w:rStyle w:val="None A"/>
          <w:rtl w:val="0"/>
        </w:rPr>
        <w:t>č</w:t>
      </w:r>
      <w:r>
        <w:rPr>
          <w:rtl w:val="0"/>
          <w:lang w:val="it-IT"/>
        </w:rPr>
        <w:t>ali,</w:t>
      </w:r>
      <w:r>
        <w:rPr>
          <w:rStyle w:val="None A"/>
          <w:rtl w:val="0"/>
        </w:rPr>
        <w:t xml:space="preserve">” </w:t>
      </w:r>
      <w:r>
        <w:rPr>
          <w:rStyle w:val="None A"/>
          <w:rtl w:val="0"/>
        </w:rPr>
        <w:t>je zapisal Toma</w:t>
      </w:r>
      <w:r>
        <w:rPr>
          <w:rStyle w:val="None A"/>
          <w:rtl w:val="0"/>
        </w:rPr>
        <w:t xml:space="preserve">ž </w:t>
      </w:r>
      <w:r>
        <w:rPr>
          <w:rStyle w:val="None A"/>
          <w:rtl w:val="0"/>
        </w:rPr>
        <w:t>Purkart, glasbeni urednik na RTV Slovenija.</w:t>
      </w:r>
    </w:p>
    <w:p>
      <w:pPr>
        <w:pStyle w:val="Body A"/>
        <w:jc w:val="both"/>
      </w:pPr>
    </w:p>
    <w:p>
      <w:pPr>
        <w:pStyle w:val="Body A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Parallel World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unikaten album z zanimivo in nalezljivo glasbo, ki lahko zadovolji ljubitelje najrazli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ih zvrsti, saj je podstat celotnega albuma dovolj pristna in osebno izpovedna, da zmore vsakomur ponuditi zanimivo glasbeno do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ivetje.</w:t>
      </w:r>
    </w:p>
    <w:p>
      <w:pPr>
        <w:pStyle w:val="Body A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Marko Zorec se trenutno pripravlja na koncerte, na katerih namerava predstaviti album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Parallel World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tudi 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ivo. Ve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rtov in novosti je vedno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najti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"http://www.markozorec.com"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www.markozorec.com</w:t>
      </w:r>
      <w:r>
        <w:rPr/>
        <w:fldChar w:fldCharType="end" w:fldLock="0"/>
      </w:r>
      <w:r>
        <w:rPr>
          <w:rStyle w:val="None A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922"/>
      <w:spacing w:val="6"/>
      <w:kern w:val="0"/>
      <w:position w:val="0"/>
      <w:sz w:val="64"/>
      <w:szCs w:val="64"/>
      <w:u w:val="none" w:color="dc5922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DC5922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24"/>
      <w:szCs w:val="24"/>
      <w:u w:val="none" w:color="444444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444444"/>
        </w14:solidFill>
      </w14:textFill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432b"/>
      <w:spacing w:val="0"/>
      <w:kern w:val="0"/>
      <w:position w:val="0"/>
      <w:sz w:val="36"/>
      <w:szCs w:val="36"/>
      <w:u w:val="none" w:color="5c432b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5C432B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e4af0a"/>
      <w:u w:color="e4af0a"/>
      <w14:textFill>
        <w14:solidFill>
          <w14:srgbClr w14:val="E4AF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Helvetica Neue"/>
        <a:ea typeface="Helvetica Neue"/>
        <a:cs typeface="Helvetica Neue"/>
      </a:majorFont>
      <a:minorFont>
        <a:latin typeface="Baskerville"/>
        <a:ea typeface="Baskerville"/>
        <a:cs typeface="Baskerville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